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LLEGA LA NOCHE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heading=h.vpx6e9zc1f5g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Llega la noche en Wecroncocha,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todo silencio en Yacuywarmi;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solo yo canto ¡oh, Madre mía!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Bajo tu manto, Ave María.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Bajo tu manto, Ave María.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Tzakay shamuykan patsa jananman, 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shongoman kanan llakinay shamun, 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noga cantami ¡oh Mamallami!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Mantayki jahuancho, Ave María.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Mantayki jahuancho, Ave María.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i w:val="1"/>
          <w:rtl w:val="0"/>
        </w:rPr>
        <w:t xml:space="preserve">Mmh… mmh…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Solo yo canto ¡oh, Madre mía!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Bajo tu manto, Ave María.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Bajo tu manto, Ave María.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MuCsp9BJVdN7W64WXQUMtRhINQ==">CgMxLjAyDmgudnB4NmU5emMxZjVnOAByITFwZ0NOZWdub1dMdzF0NjVreVdUcGZ5b1FsNGNxUVprdA==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